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1EF301B7" w:rsidR="0072727B" w:rsidRPr="004B3092" w:rsidRDefault="00F56774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HOD Meeting, </w:t>
      </w:r>
      <w:r w:rsidR="00A345C8">
        <w:rPr>
          <w:rFonts w:ascii="Arial Narrow" w:hAnsi="Arial Narrow"/>
          <w:sz w:val="22"/>
          <w:szCs w:val="22"/>
        </w:rPr>
        <w:t>May 7, 2016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0A119B94" w:rsidR="005330E5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dell, John Bitter, Jennifer Winters</w:t>
      </w:r>
      <w:r w:rsidRPr="004B3092">
        <w:rPr>
          <w:rFonts w:ascii="Arial Narrow" w:hAnsi="Arial Narrow"/>
          <w:sz w:val="22"/>
          <w:szCs w:val="22"/>
        </w:rPr>
        <w:t xml:space="preserve">, Cliff </w:t>
      </w:r>
      <w:proofErr w:type="spellStart"/>
      <w:r w:rsidRPr="004B3092">
        <w:rPr>
          <w:rFonts w:ascii="Arial Narrow" w:hAnsi="Arial Narrow"/>
          <w:sz w:val="22"/>
          <w:szCs w:val="22"/>
        </w:rPr>
        <w:t>Reyda</w:t>
      </w:r>
      <w:proofErr w:type="spellEnd"/>
      <w:r w:rsidRPr="004B3092">
        <w:rPr>
          <w:rFonts w:ascii="Arial Narrow" w:hAnsi="Arial Narrow"/>
          <w:sz w:val="22"/>
          <w:szCs w:val="22"/>
        </w:rPr>
        <w:t xml:space="preserve">, Jim </w:t>
      </w:r>
      <w:proofErr w:type="spellStart"/>
      <w:r w:rsidRPr="004B3092">
        <w:rPr>
          <w:rFonts w:ascii="Arial Narrow" w:hAnsi="Arial Narrow"/>
          <w:sz w:val="22"/>
          <w:szCs w:val="22"/>
        </w:rPr>
        <w:t>Morefield,</w:t>
      </w:r>
      <w:r w:rsidR="00F1744A" w:rsidRPr="004B3092">
        <w:rPr>
          <w:rFonts w:ascii="Arial Narrow" w:hAnsi="Arial Narrow"/>
          <w:sz w:val="22"/>
          <w:szCs w:val="22"/>
        </w:rPr>
        <w:t>Matt</w:t>
      </w:r>
      <w:proofErr w:type="spellEnd"/>
      <w:r w:rsidR="00F1744A" w:rsidRPr="004B3092">
        <w:rPr>
          <w:rFonts w:ascii="Arial Narrow" w:hAnsi="Arial Narrow"/>
          <w:sz w:val="22"/>
          <w:szCs w:val="22"/>
        </w:rPr>
        <w:t xml:space="preserve"> Schubert, Buffy Paterson, Carol Cottam</w:t>
      </w:r>
    </w:p>
    <w:p w14:paraId="34B9CC68" w14:textId="3DC1997D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7753A7">
        <w:rPr>
          <w:rFonts w:ascii="Arial Narrow" w:hAnsi="Arial Narrow"/>
          <w:sz w:val="22"/>
          <w:szCs w:val="22"/>
        </w:rPr>
        <w:t>May 19, 2016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0F6A8827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0DDA04BC" w:rsidR="009A5921" w:rsidRPr="004B3092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81444D" w:rsidRPr="004B3092">
        <w:rPr>
          <w:rFonts w:ascii="Arial Narrow" w:hAnsi="Arial Narrow"/>
          <w:sz w:val="22"/>
          <w:szCs w:val="22"/>
        </w:rPr>
        <w:t>for the year ending</w:t>
      </w:r>
      <w:r w:rsidR="007753A7">
        <w:rPr>
          <w:rFonts w:ascii="Arial Narrow" w:hAnsi="Arial Narrow"/>
          <w:sz w:val="22"/>
          <w:szCs w:val="22"/>
        </w:rPr>
        <w:t xml:space="preserve"> August 31, 2015 were reviewed</w:t>
      </w:r>
      <w:r w:rsidR="00817950" w:rsidRPr="004B3092">
        <w:rPr>
          <w:rFonts w:ascii="Arial Narrow" w:hAnsi="Arial Narrow"/>
          <w:sz w:val="22"/>
          <w:szCs w:val="22"/>
        </w:rPr>
        <w:t xml:space="preserve">. </w:t>
      </w:r>
      <w:r w:rsidR="007753A7">
        <w:rPr>
          <w:rFonts w:ascii="Arial Narrow" w:hAnsi="Arial Narrow"/>
          <w:sz w:val="22"/>
          <w:szCs w:val="22"/>
        </w:rPr>
        <w:t>(Posted)</w:t>
      </w:r>
    </w:p>
    <w:p w14:paraId="77351A2E" w14:textId="77777777" w:rsidR="00961B02" w:rsidRPr="009C1510" w:rsidRDefault="00961B02">
      <w:pPr>
        <w:rPr>
          <w:rFonts w:ascii="Arial Narrow" w:hAnsi="Arial Narrow"/>
          <w:sz w:val="16"/>
          <w:szCs w:val="16"/>
        </w:rPr>
      </w:pPr>
    </w:p>
    <w:p w14:paraId="33CFC313" w14:textId="608A43A5" w:rsidR="00F1744A" w:rsidRPr="004B3092" w:rsidRDefault="009C151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As of May 1, 2016 Pacific Swimming </w:t>
      </w:r>
      <w:proofErr w:type="gramStart"/>
      <w:r>
        <w:rPr>
          <w:rFonts w:ascii="Arial Narrow" w:hAnsi="Arial Narrow"/>
          <w:sz w:val="22"/>
          <w:szCs w:val="22"/>
        </w:rPr>
        <w:t xml:space="preserve">has </w:t>
      </w:r>
      <w:r w:rsidR="007753A7">
        <w:rPr>
          <w:rFonts w:ascii="Arial Narrow" w:hAnsi="Arial Narrow"/>
          <w:sz w:val="22"/>
          <w:szCs w:val="22"/>
        </w:rPr>
        <w:t xml:space="preserve"> engaged</w:t>
      </w:r>
      <w:proofErr w:type="gramEnd"/>
      <w:r w:rsidR="007753A7">
        <w:rPr>
          <w:rFonts w:ascii="Arial Narrow" w:hAnsi="Arial Narrow"/>
          <w:sz w:val="22"/>
          <w:szCs w:val="22"/>
        </w:rPr>
        <w:t xml:space="preserve"> a new accountant, MKR Accounting</w:t>
      </w:r>
      <w:r w:rsidR="00FD0FD9">
        <w:rPr>
          <w:rFonts w:ascii="Arial Narrow" w:hAnsi="Arial Narrow"/>
          <w:sz w:val="22"/>
          <w:szCs w:val="22"/>
        </w:rPr>
        <w:t>,</w:t>
      </w:r>
      <w:r w:rsidR="007753A7">
        <w:rPr>
          <w:rFonts w:ascii="Arial Narrow" w:hAnsi="Arial Narrow"/>
          <w:sz w:val="22"/>
          <w:szCs w:val="22"/>
        </w:rPr>
        <w:t xml:space="preserve"> to take over the independent review of the bank reconciliation</w:t>
      </w:r>
      <w:r>
        <w:rPr>
          <w:rFonts w:ascii="Arial Narrow" w:hAnsi="Arial Narrow"/>
          <w:sz w:val="22"/>
          <w:szCs w:val="22"/>
        </w:rPr>
        <w:t>s</w:t>
      </w:r>
      <w:r w:rsidR="007753A7">
        <w:rPr>
          <w:rFonts w:ascii="Arial Narrow" w:hAnsi="Arial Narrow"/>
          <w:sz w:val="22"/>
          <w:szCs w:val="22"/>
        </w:rPr>
        <w:t xml:space="preserve">. </w:t>
      </w:r>
      <w:r w:rsidR="00A345C8">
        <w:rPr>
          <w:rFonts w:ascii="Arial Narrow" w:hAnsi="Arial Narrow"/>
          <w:sz w:val="22"/>
          <w:szCs w:val="22"/>
        </w:rPr>
        <w:t>The accountant will also assist us with financial reporting and preparation for annual reviews and/or audits.</w:t>
      </w:r>
    </w:p>
    <w:p w14:paraId="573E920E" w14:textId="77777777" w:rsidR="00156584" w:rsidRPr="009C1510" w:rsidRDefault="00156584">
      <w:pPr>
        <w:rPr>
          <w:rFonts w:ascii="Arial Narrow" w:hAnsi="Arial Narrow"/>
          <w:sz w:val="16"/>
          <w:szCs w:val="16"/>
        </w:rPr>
      </w:pPr>
    </w:p>
    <w:p w14:paraId="50611B71" w14:textId="77DCC960" w:rsidR="00961B02" w:rsidRPr="004B3092" w:rsidRDefault="00A345C8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committee, with the as</w:t>
      </w:r>
      <w:r w:rsidR="00FD0FD9">
        <w:rPr>
          <w:rFonts w:ascii="Arial Narrow" w:hAnsi="Arial Narrow"/>
          <w:sz w:val="22"/>
          <w:szCs w:val="22"/>
        </w:rPr>
        <w:t xml:space="preserve">sistance of the new accountant, </w:t>
      </w:r>
      <w:r>
        <w:rPr>
          <w:rFonts w:ascii="Arial Narrow" w:hAnsi="Arial Narrow"/>
          <w:sz w:val="22"/>
          <w:szCs w:val="22"/>
        </w:rPr>
        <w:t>will continue</w:t>
      </w:r>
      <w:r w:rsidR="009A5921" w:rsidRPr="004B3092">
        <w:rPr>
          <w:rFonts w:ascii="Arial Narrow" w:hAnsi="Arial Narrow"/>
          <w:sz w:val="22"/>
          <w:szCs w:val="22"/>
        </w:rPr>
        <w:t xml:space="preserve"> to review</w:t>
      </w:r>
      <w:r>
        <w:rPr>
          <w:rFonts w:ascii="Arial Narrow" w:hAnsi="Arial Narrow"/>
          <w:sz w:val="22"/>
          <w:szCs w:val="22"/>
        </w:rPr>
        <w:t xml:space="preserve"> and develop </w:t>
      </w:r>
      <w:r w:rsidR="009A5921" w:rsidRPr="004B3092">
        <w:rPr>
          <w:rFonts w:ascii="Arial Narrow" w:hAnsi="Arial Narrow"/>
          <w:sz w:val="22"/>
          <w:szCs w:val="22"/>
        </w:rPr>
        <w:t xml:space="preserve">financial </w:t>
      </w:r>
      <w:r>
        <w:rPr>
          <w:rFonts w:ascii="Arial Narrow" w:hAnsi="Arial Narrow"/>
          <w:sz w:val="22"/>
          <w:szCs w:val="22"/>
        </w:rPr>
        <w:t xml:space="preserve">policies and </w:t>
      </w:r>
      <w:r w:rsidR="00FD0FD9">
        <w:rPr>
          <w:rFonts w:ascii="Arial Narrow" w:hAnsi="Arial Narrow"/>
          <w:sz w:val="22"/>
          <w:szCs w:val="22"/>
        </w:rPr>
        <w:t>p</w:t>
      </w:r>
      <w:r w:rsidR="009A5921" w:rsidRPr="004B3092">
        <w:rPr>
          <w:rFonts w:ascii="Arial Narrow" w:hAnsi="Arial Narrow"/>
          <w:sz w:val="22"/>
          <w:szCs w:val="22"/>
        </w:rPr>
        <w:t>rocedures</w:t>
      </w:r>
      <w:r w:rsidR="00F56774" w:rsidRPr="004B3092">
        <w:rPr>
          <w:rFonts w:ascii="Arial Narrow" w:hAnsi="Arial Narrow"/>
          <w:sz w:val="22"/>
          <w:szCs w:val="22"/>
        </w:rPr>
        <w:t xml:space="preserve">. </w:t>
      </w:r>
    </w:p>
    <w:p w14:paraId="1F94EE0E" w14:textId="77777777" w:rsidR="005330E5" w:rsidRPr="009C1510" w:rsidRDefault="005330E5">
      <w:pPr>
        <w:rPr>
          <w:rFonts w:ascii="Arial Narrow" w:hAnsi="Arial Narrow"/>
          <w:sz w:val="16"/>
          <w:szCs w:val="16"/>
        </w:rPr>
      </w:pPr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4DB8BB05" w14:textId="5795782C" w:rsidR="00F56774" w:rsidRPr="004B3092" w:rsidRDefault="00F56774" w:rsidP="00F56774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HOD Meeting, </w:t>
      </w:r>
      <w:r w:rsidR="00752850">
        <w:rPr>
          <w:rFonts w:ascii="Arial Narrow" w:hAnsi="Arial Narrow"/>
          <w:sz w:val="22"/>
          <w:szCs w:val="22"/>
        </w:rPr>
        <w:t>May 7, 2016</w:t>
      </w:r>
    </w:p>
    <w:p w14:paraId="1245AB83" w14:textId="77777777" w:rsidR="00446255" w:rsidRPr="004B3092" w:rsidRDefault="00446255">
      <w:pPr>
        <w:rPr>
          <w:rFonts w:ascii="Arial Narrow" w:hAnsi="Arial Narrow"/>
          <w:sz w:val="22"/>
          <w:szCs w:val="22"/>
        </w:rPr>
      </w:pPr>
    </w:p>
    <w:p w14:paraId="07AA69D3" w14:textId="5914D313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John Bitter, Leo Lin, Don Heidary, </w:t>
      </w:r>
      <w:r w:rsidR="00A91777" w:rsidRPr="004B3092">
        <w:rPr>
          <w:rFonts w:ascii="Arial Narrow" w:hAnsi="Arial Narrow"/>
          <w:sz w:val="22"/>
          <w:szCs w:val="22"/>
        </w:rPr>
        <w:t>Jennifer Winters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Rianda, </w:t>
      </w:r>
      <w:r w:rsidR="00AC66D0" w:rsidRPr="004B3092">
        <w:rPr>
          <w:rFonts w:ascii="Arial Narrow" w:hAnsi="Arial Narrow"/>
          <w:sz w:val="22"/>
          <w:szCs w:val="22"/>
        </w:rPr>
        <w:t xml:space="preserve"> Mike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1536B1E3" w14:textId="4AF6FDD1" w:rsidR="00502E6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7753A7">
        <w:rPr>
          <w:rFonts w:ascii="Arial Narrow" w:hAnsi="Arial Narrow"/>
          <w:sz w:val="22"/>
          <w:szCs w:val="22"/>
        </w:rPr>
        <w:t>.  Last meeting April 27, 20</w:t>
      </w:r>
      <w:r w:rsidR="009C1510">
        <w:rPr>
          <w:rFonts w:ascii="Arial Narrow" w:hAnsi="Arial Narrow"/>
          <w:sz w:val="22"/>
          <w:szCs w:val="22"/>
        </w:rPr>
        <w:t xml:space="preserve">16. Next meeting August, 2016 </w:t>
      </w:r>
    </w:p>
    <w:p w14:paraId="42712E2B" w14:textId="77777777" w:rsidR="00DF73EB" w:rsidRPr="004B3092" w:rsidRDefault="00DF73EB">
      <w:pPr>
        <w:rPr>
          <w:rFonts w:ascii="Arial Narrow" w:hAnsi="Arial Narrow"/>
          <w:sz w:val="22"/>
          <w:szCs w:val="22"/>
        </w:rPr>
      </w:pPr>
    </w:p>
    <w:p w14:paraId="3580C0FE" w14:textId="3B1B8615" w:rsidR="00A91777" w:rsidRDefault="00A91777" w:rsidP="00A91777">
      <w:pPr>
        <w:pStyle w:val="NoSpacing"/>
        <w:spacing w:line="30" w:lineRule="atLeast"/>
        <w:rPr>
          <w:rFonts w:ascii="Arial Narrow" w:hAnsi="Arial Narrow"/>
        </w:rPr>
      </w:pPr>
      <w:r w:rsidRPr="004B3092">
        <w:rPr>
          <w:rFonts w:ascii="Arial Narrow" w:hAnsi="Arial Narrow"/>
        </w:rPr>
        <w:t>The estimated income for</w:t>
      </w:r>
      <w:r w:rsidR="009C1510">
        <w:rPr>
          <w:rFonts w:ascii="Arial Narrow" w:hAnsi="Arial Narrow"/>
        </w:rPr>
        <w:t xml:space="preserve"> 2016 is $71,866</w:t>
      </w:r>
      <w:r w:rsidRPr="004B3092">
        <w:rPr>
          <w:rFonts w:ascii="Arial Narrow" w:hAnsi="Arial Narrow"/>
        </w:rPr>
        <w:t xml:space="preserve">.  The </w:t>
      </w:r>
      <w:r w:rsidR="009C1510">
        <w:rPr>
          <w:rFonts w:ascii="Arial Narrow" w:hAnsi="Arial Narrow"/>
        </w:rPr>
        <w:t xml:space="preserve">current </w:t>
      </w:r>
      <w:r w:rsidRPr="004B3092">
        <w:rPr>
          <w:rFonts w:ascii="Arial Narrow" w:hAnsi="Arial Narrow"/>
        </w:rPr>
        <w:t>asset all</w:t>
      </w:r>
      <w:r w:rsidR="009C1510">
        <w:rPr>
          <w:rFonts w:ascii="Arial Narrow" w:hAnsi="Arial Narrow"/>
        </w:rPr>
        <w:t xml:space="preserve">ocation </w:t>
      </w:r>
      <w:r w:rsidR="00FD0FD9">
        <w:rPr>
          <w:rFonts w:ascii="Arial Narrow" w:hAnsi="Arial Narrow"/>
        </w:rPr>
        <w:t>is 61.8% equities, 28.9</w:t>
      </w:r>
      <w:r w:rsidR="007753A7">
        <w:rPr>
          <w:rFonts w:ascii="Arial Narrow" w:hAnsi="Arial Narrow"/>
        </w:rPr>
        <w:t>% fixed income and 9.3</w:t>
      </w:r>
      <w:r w:rsidRPr="004B3092">
        <w:rPr>
          <w:rFonts w:ascii="Arial Narrow" w:hAnsi="Arial Narrow"/>
        </w:rPr>
        <w:t xml:space="preserve">% cash equivalents/alternatives. </w:t>
      </w:r>
      <w:r w:rsidR="009C1510">
        <w:rPr>
          <w:rFonts w:ascii="Arial Narrow" w:hAnsi="Arial Narrow"/>
        </w:rPr>
        <w:t xml:space="preserve">The </w:t>
      </w:r>
      <w:r w:rsidR="00FD0FD9">
        <w:rPr>
          <w:rFonts w:ascii="Arial Narrow" w:hAnsi="Arial Narrow"/>
        </w:rPr>
        <w:t xml:space="preserve">account follows the investment </w:t>
      </w:r>
      <w:r w:rsidR="009C1510">
        <w:rPr>
          <w:rFonts w:ascii="Arial Narrow" w:hAnsi="Arial Narrow"/>
        </w:rPr>
        <w:t>objectives of growth with high income and low volatility.</w:t>
      </w:r>
    </w:p>
    <w:p w14:paraId="58A7A8C9" w14:textId="77777777" w:rsidR="00A91777" w:rsidRPr="004B3092" w:rsidRDefault="00A91777" w:rsidP="00A91777">
      <w:pPr>
        <w:pStyle w:val="NoSpacing"/>
        <w:spacing w:line="30" w:lineRule="atLeast"/>
        <w:rPr>
          <w:rFonts w:ascii="Arial Narrow" w:hAnsi="Arial Narrow"/>
        </w:rPr>
      </w:pPr>
    </w:p>
    <w:p w14:paraId="0B6818DF" w14:textId="08BD52E3" w:rsidR="009A5921" w:rsidRDefault="007753A7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table below shows an account balance comparison between March 31, 2015 </w:t>
      </w:r>
      <w:proofErr w:type="spellStart"/>
      <w:r>
        <w:rPr>
          <w:rFonts w:ascii="Arial Narrow" w:hAnsi="Arial Narrow"/>
        </w:rPr>
        <w:t>amd</w:t>
      </w:r>
      <w:proofErr w:type="spellEnd"/>
      <w:r>
        <w:rPr>
          <w:rFonts w:ascii="Arial Narrow" w:hAnsi="Arial Narrow"/>
        </w:rPr>
        <w:t xml:space="preserve"> March 31, 2016.</w:t>
      </w:r>
      <w:r w:rsidR="009C1510">
        <w:rPr>
          <w:rFonts w:ascii="Arial Narrow" w:hAnsi="Arial Narrow"/>
        </w:rPr>
        <w:t xml:space="preserve"> At the April Investment Committee meeting Mick Pepper reported </w:t>
      </w:r>
      <w:proofErr w:type="gramStart"/>
      <w:r w:rsidR="009C1510">
        <w:rPr>
          <w:rFonts w:ascii="Arial Narrow" w:hAnsi="Arial Narrow"/>
        </w:rPr>
        <w:t>the an</w:t>
      </w:r>
      <w:proofErr w:type="gramEnd"/>
      <w:r w:rsidR="009C1510">
        <w:rPr>
          <w:rFonts w:ascii="Arial Narrow" w:hAnsi="Arial Narrow"/>
        </w:rPr>
        <w:t xml:space="preserve"> account balance of $2,564,068 as of April 27, 2016.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530"/>
        <w:gridCol w:w="1530"/>
      </w:tblGrid>
      <w:tr w:rsidR="00BF4436" w14:paraId="3412C02B" w14:textId="77777777" w:rsidTr="00BF4436">
        <w:tc>
          <w:tcPr>
            <w:tcW w:w="2178" w:type="dxa"/>
          </w:tcPr>
          <w:p w14:paraId="1ABC7E21" w14:textId="3B44C26A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</w:p>
        </w:tc>
        <w:tc>
          <w:tcPr>
            <w:tcW w:w="1530" w:type="dxa"/>
          </w:tcPr>
          <w:p w14:paraId="4C3F6A31" w14:textId="4497585B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March 31, 2015</w:t>
            </w:r>
          </w:p>
        </w:tc>
        <w:tc>
          <w:tcPr>
            <w:tcW w:w="1530" w:type="dxa"/>
          </w:tcPr>
          <w:p w14:paraId="37D9A81A" w14:textId="0DE2EDF8" w:rsidR="00BF4436" w:rsidRDefault="007753A7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March 31</w:t>
            </w:r>
            <w:r w:rsidR="00BF4436">
              <w:rPr>
                <w:rFonts w:ascii="Arial Narrow" w:hAnsi="Arial Narrow"/>
              </w:rPr>
              <w:t>, 2016</w:t>
            </w:r>
          </w:p>
        </w:tc>
      </w:tr>
      <w:tr w:rsidR="00BF4436" w14:paraId="21C7743E" w14:textId="77777777" w:rsidTr="00BF4436">
        <w:tc>
          <w:tcPr>
            <w:tcW w:w="2178" w:type="dxa"/>
          </w:tcPr>
          <w:p w14:paraId="4E62F97A" w14:textId="1DD3AD43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LSC </w:t>
            </w:r>
          </w:p>
        </w:tc>
        <w:tc>
          <w:tcPr>
            <w:tcW w:w="1530" w:type="dxa"/>
            <w:vAlign w:val="center"/>
          </w:tcPr>
          <w:p w14:paraId="46099E94" w14:textId="283521A9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$2,300,861</w:t>
            </w:r>
          </w:p>
        </w:tc>
        <w:tc>
          <w:tcPr>
            <w:tcW w:w="1530" w:type="dxa"/>
            <w:vAlign w:val="center"/>
          </w:tcPr>
          <w:p w14:paraId="7A1564C3" w14:textId="7089B7DC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$2,346,555</w:t>
            </w:r>
          </w:p>
        </w:tc>
      </w:tr>
      <w:tr w:rsidR="00BF4436" w14:paraId="1AE76A8B" w14:textId="77777777" w:rsidTr="00BF4436">
        <w:tc>
          <w:tcPr>
            <w:tcW w:w="2178" w:type="dxa"/>
          </w:tcPr>
          <w:p w14:paraId="7BC33B79" w14:textId="02B39A20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Board Designated Fund</w:t>
            </w:r>
          </w:p>
        </w:tc>
        <w:tc>
          <w:tcPr>
            <w:tcW w:w="1530" w:type="dxa"/>
            <w:vAlign w:val="center"/>
          </w:tcPr>
          <w:p w14:paraId="0BCD7FB4" w14:textId="195907FE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76,508</w:t>
            </w:r>
          </w:p>
        </w:tc>
        <w:tc>
          <w:tcPr>
            <w:tcW w:w="1530" w:type="dxa"/>
            <w:vAlign w:val="center"/>
          </w:tcPr>
          <w:p w14:paraId="65A8E1B3" w14:textId="6E5F5EE4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118,375</w:t>
            </w:r>
          </w:p>
        </w:tc>
      </w:tr>
      <w:tr w:rsidR="00BF4436" w14:paraId="6941A143" w14:textId="77777777" w:rsidTr="00BF4436">
        <w:tc>
          <w:tcPr>
            <w:tcW w:w="2178" w:type="dxa"/>
          </w:tcPr>
          <w:p w14:paraId="3AEF1A28" w14:textId="3F2C6CD5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2</w:t>
            </w:r>
          </w:p>
        </w:tc>
        <w:tc>
          <w:tcPr>
            <w:tcW w:w="1530" w:type="dxa"/>
            <w:vAlign w:val="center"/>
          </w:tcPr>
          <w:p w14:paraId="01CB4B33" w14:textId="07946C93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55,935</w:t>
            </w:r>
          </w:p>
        </w:tc>
        <w:tc>
          <w:tcPr>
            <w:tcW w:w="1530" w:type="dxa"/>
            <w:vAlign w:val="center"/>
          </w:tcPr>
          <w:p w14:paraId="6F108EC2" w14:textId="5BC8474A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57,666</w:t>
            </w:r>
          </w:p>
        </w:tc>
      </w:tr>
      <w:tr w:rsidR="00BF4436" w14:paraId="17919B45" w14:textId="77777777" w:rsidTr="00BF4436">
        <w:tc>
          <w:tcPr>
            <w:tcW w:w="2178" w:type="dxa"/>
          </w:tcPr>
          <w:p w14:paraId="15D4709E" w14:textId="2657EB7E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1 South</w:t>
            </w:r>
          </w:p>
        </w:tc>
        <w:tc>
          <w:tcPr>
            <w:tcW w:w="1530" w:type="dxa"/>
            <w:vAlign w:val="center"/>
          </w:tcPr>
          <w:p w14:paraId="11F118BF" w14:textId="6415F9F3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30,267</w:t>
            </w:r>
          </w:p>
        </w:tc>
        <w:tc>
          <w:tcPr>
            <w:tcW w:w="1530" w:type="dxa"/>
            <w:vAlign w:val="center"/>
          </w:tcPr>
          <w:p w14:paraId="694F0577" w14:textId="2D63C278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31,204</w:t>
            </w:r>
          </w:p>
        </w:tc>
      </w:tr>
      <w:tr w:rsidR="00BF4436" w14:paraId="09F67E58" w14:textId="77777777" w:rsidTr="00BF4436">
        <w:tc>
          <w:tcPr>
            <w:tcW w:w="2178" w:type="dxa"/>
          </w:tcPr>
          <w:p w14:paraId="47FE7544" w14:textId="70E73283" w:rsidR="00BF4436" w:rsidRDefault="00BF4436" w:rsidP="004B3092">
            <w:pPr>
              <w:pStyle w:val="NoSpacing"/>
              <w:spacing w:line="30" w:lineRule="atLea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Total Ending Balance</w:t>
            </w:r>
          </w:p>
        </w:tc>
        <w:tc>
          <w:tcPr>
            <w:tcW w:w="1530" w:type="dxa"/>
            <w:vAlign w:val="center"/>
          </w:tcPr>
          <w:p w14:paraId="07E58B52" w14:textId="7BAE8312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$2,463,571</w:t>
            </w:r>
          </w:p>
        </w:tc>
        <w:tc>
          <w:tcPr>
            <w:tcW w:w="1530" w:type="dxa"/>
            <w:vAlign w:val="center"/>
          </w:tcPr>
          <w:p w14:paraId="0C1E858F" w14:textId="67282E3D" w:rsidR="00BF4436" w:rsidRDefault="00BF4436" w:rsidP="00BF4436">
            <w:pPr>
              <w:pStyle w:val="NoSpacing"/>
              <w:spacing w:line="30" w:lineRule="atLeas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$2,555,800</w:t>
            </w:r>
          </w:p>
        </w:tc>
      </w:tr>
    </w:tbl>
    <w:p w14:paraId="01A6B5B9" w14:textId="77777777" w:rsidR="004B3092" w:rsidRPr="004B3092" w:rsidRDefault="004B3092" w:rsidP="004B3092">
      <w:pPr>
        <w:pStyle w:val="NoSpacing"/>
        <w:spacing w:line="30" w:lineRule="atLeast"/>
        <w:rPr>
          <w:rFonts w:ascii="Arial Narrow" w:hAnsi="Arial Narrow"/>
        </w:rPr>
      </w:pPr>
    </w:p>
    <w:p w14:paraId="77AA5D3E" w14:textId="23BD5F83" w:rsidR="007A7B83" w:rsidRDefault="007A7B83">
      <w:pPr>
        <w:rPr>
          <w:rFonts w:ascii="Arial Narrow" w:hAnsi="Arial Narrow"/>
          <w:sz w:val="22"/>
          <w:szCs w:val="22"/>
        </w:rPr>
      </w:pPr>
    </w:p>
    <w:p w14:paraId="232B91BA" w14:textId="35373FB9" w:rsidR="007753A7" w:rsidRDefault="008706D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9C1510">
        <w:rPr>
          <w:rFonts w:ascii="Arial Narrow" w:hAnsi="Arial Narrow"/>
          <w:sz w:val="22"/>
          <w:szCs w:val="22"/>
        </w:rPr>
        <w:t xml:space="preserve">application deadline for the </w:t>
      </w:r>
      <w:r w:rsidR="007753A7">
        <w:rPr>
          <w:rFonts w:ascii="Arial Narrow" w:hAnsi="Arial Narrow"/>
          <w:sz w:val="22"/>
          <w:szCs w:val="22"/>
        </w:rPr>
        <w:t>seco</w:t>
      </w:r>
      <w:r w:rsidR="009C1510">
        <w:rPr>
          <w:rFonts w:ascii="Arial Narrow" w:hAnsi="Arial Narrow"/>
          <w:sz w:val="22"/>
          <w:szCs w:val="22"/>
        </w:rPr>
        <w:t xml:space="preserve">nd round of Equipment grants </w:t>
      </w:r>
      <w:r w:rsidR="006E3D0E">
        <w:rPr>
          <w:rFonts w:ascii="Arial Narrow" w:hAnsi="Arial Narrow"/>
          <w:sz w:val="22"/>
          <w:szCs w:val="22"/>
        </w:rPr>
        <w:t>(</w:t>
      </w:r>
      <w:r w:rsidR="007753A7">
        <w:rPr>
          <w:rFonts w:ascii="Arial Narrow" w:hAnsi="Arial Narrow"/>
          <w:sz w:val="22"/>
          <w:szCs w:val="22"/>
        </w:rPr>
        <w:t>clubs who did not app</w:t>
      </w:r>
      <w:r w:rsidR="00FD0FD9">
        <w:rPr>
          <w:rFonts w:ascii="Arial Narrow" w:hAnsi="Arial Narrow"/>
          <w:sz w:val="22"/>
          <w:szCs w:val="22"/>
        </w:rPr>
        <w:t xml:space="preserve">ly or were not eligible during </w:t>
      </w:r>
      <w:r w:rsidR="007753A7">
        <w:rPr>
          <w:rFonts w:ascii="Arial Narrow" w:hAnsi="Arial Narrow"/>
          <w:sz w:val="22"/>
          <w:szCs w:val="22"/>
        </w:rPr>
        <w:t>round one</w:t>
      </w:r>
      <w:r w:rsidR="006E3D0E">
        <w:rPr>
          <w:rFonts w:ascii="Arial Narrow" w:hAnsi="Arial Narrow"/>
          <w:sz w:val="22"/>
          <w:szCs w:val="22"/>
        </w:rPr>
        <w:t>) is June 10, 2016</w:t>
      </w:r>
      <w:r w:rsidR="007753A7">
        <w:rPr>
          <w:rFonts w:ascii="Arial Narrow" w:hAnsi="Arial Narrow"/>
          <w:sz w:val="22"/>
          <w:szCs w:val="22"/>
        </w:rPr>
        <w:t xml:space="preserve">. </w:t>
      </w:r>
      <w:r w:rsidR="009C1510" w:rsidRPr="004B3092">
        <w:rPr>
          <w:rFonts w:ascii="Arial Narrow" w:hAnsi="Arial Narrow"/>
          <w:sz w:val="22"/>
          <w:szCs w:val="22"/>
        </w:rPr>
        <w:t>The investment fund will be used to provide travel support for athletes who ha</w:t>
      </w:r>
      <w:r w:rsidR="009C1510">
        <w:rPr>
          <w:rFonts w:ascii="Arial Narrow" w:hAnsi="Arial Narrow"/>
          <w:sz w:val="22"/>
          <w:szCs w:val="22"/>
        </w:rPr>
        <w:t>ve qualified for Olympic Trials</w:t>
      </w:r>
      <w:r w:rsidR="00FD0FD9">
        <w:rPr>
          <w:rFonts w:ascii="Arial Narrow" w:hAnsi="Arial Narrow"/>
          <w:sz w:val="22"/>
          <w:szCs w:val="22"/>
        </w:rPr>
        <w:t>.</w:t>
      </w:r>
    </w:p>
    <w:p w14:paraId="0C2D836F" w14:textId="77777777" w:rsidR="006E3D0E" w:rsidRDefault="006E3D0E">
      <w:pPr>
        <w:rPr>
          <w:rFonts w:ascii="Arial Narrow" w:hAnsi="Arial Narrow"/>
          <w:sz w:val="22"/>
          <w:szCs w:val="22"/>
        </w:rPr>
      </w:pPr>
    </w:p>
    <w:p w14:paraId="724FD70D" w14:textId="2656E36F" w:rsidR="00FE16DC" w:rsidRDefault="006E3D0E">
      <w:pPr>
        <w:rPr>
          <w:rFonts w:ascii="Arial Narrow" w:hAnsi="Arial Narrow"/>
          <w:sz w:val="22"/>
          <w:szCs w:val="22"/>
        </w:rPr>
      </w:pPr>
      <w:r w:rsidRPr="00311980">
        <w:rPr>
          <w:rFonts w:ascii="Arial Narrow" w:hAnsi="Arial Narrow"/>
          <w:b/>
          <w:sz w:val="22"/>
          <w:szCs w:val="22"/>
        </w:rPr>
        <w:t>Grant cycle:</w:t>
      </w:r>
      <w:r>
        <w:rPr>
          <w:rFonts w:ascii="Arial Narrow" w:hAnsi="Arial Narrow"/>
          <w:sz w:val="22"/>
          <w:szCs w:val="22"/>
        </w:rPr>
        <w:t xml:space="preserve"> The Investment Committee is in the process of drafting a 3 year cycle of grants that will be funded from our investment earnings. </w:t>
      </w:r>
      <w:r w:rsidR="00FE16DC">
        <w:rPr>
          <w:rFonts w:ascii="Arial Narrow" w:hAnsi="Arial Narrow"/>
          <w:sz w:val="22"/>
          <w:szCs w:val="22"/>
        </w:rPr>
        <w:t xml:space="preserve">For the 2016-17 fiscal year we will offer a Pool Improvement Grant. For the 2017-18 fiscal year an Equipment </w:t>
      </w:r>
      <w:proofErr w:type="gramStart"/>
      <w:r w:rsidR="00FE16DC">
        <w:rPr>
          <w:rFonts w:ascii="Arial Narrow" w:hAnsi="Arial Narrow"/>
          <w:sz w:val="22"/>
          <w:szCs w:val="22"/>
        </w:rPr>
        <w:t>Grant  will</w:t>
      </w:r>
      <w:proofErr w:type="gramEnd"/>
      <w:r w:rsidR="00FE16DC">
        <w:rPr>
          <w:rFonts w:ascii="Arial Narrow" w:hAnsi="Arial Narrow"/>
          <w:sz w:val="22"/>
          <w:szCs w:val="22"/>
        </w:rPr>
        <w:t xml:space="preserve"> be o</w:t>
      </w:r>
      <w:r w:rsidR="00FD0FD9">
        <w:rPr>
          <w:rFonts w:ascii="Arial Narrow" w:hAnsi="Arial Narrow"/>
          <w:sz w:val="22"/>
          <w:szCs w:val="22"/>
        </w:rPr>
        <w:t xml:space="preserve">ffered and in 2018-19 a </w:t>
      </w:r>
      <w:r w:rsidR="00FE16DC">
        <w:rPr>
          <w:rFonts w:ascii="Arial Narrow" w:hAnsi="Arial Narrow"/>
          <w:sz w:val="22"/>
          <w:szCs w:val="22"/>
        </w:rPr>
        <w:t>grant</w:t>
      </w:r>
      <w:r w:rsidR="00FD0FD9">
        <w:rPr>
          <w:rFonts w:ascii="Arial Narrow" w:hAnsi="Arial Narrow"/>
          <w:sz w:val="22"/>
          <w:szCs w:val="22"/>
        </w:rPr>
        <w:t xml:space="preserve"> yet to be determined</w:t>
      </w:r>
      <w:r w:rsidR="00FE16DC">
        <w:rPr>
          <w:rFonts w:ascii="Arial Narrow" w:hAnsi="Arial Narrow"/>
          <w:sz w:val="22"/>
          <w:szCs w:val="22"/>
        </w:rPr>
        <w:t xml:space="preserve"> will</w:t>
      </w:r>
      <w:r w:rsidR="00FD0FD9">
        <w:rPr>
          <w:rFonts w:ascii="Arial Narrow" w:hAnsi="Arial Narrow"/>
          <w:sz w:val="22"/>
          <w:szCs w:val="22"/>
        </w:rPr>
        <w:t xml:space="preserve"> be offered. The goal is to establish</w:t>
      </w:r>
      <w:r w:rsidR="00FE16DC">
        <w:rPr>
          <w:rFonts w:ascii="Arial Narrow" w:hAnsi="Arial Narrow"/>
          <w:sz w:val="22"/>
          <w:szCs w:val="22"/>
        </w:rPr>
        <w:t xml:space="preserve"> the d</w:t>
      </w:r>
      <w:r w:rsidR="00FD0FD9">
        <w:rPr>
          <w:rFonts w:ascii="Arial Narrow" w:hAnsi="Arial Narrow"/>
          <w:sz w:val="22"/>
          <w:szCs w:val="22"/>
        </w:rPr>
        <w:t xml:space="preserve">etails of the Pool Improvement Grant no later than August 31, 2016.  </w:t>
      </w:r>
      <w:r w:rsidR="00FE16DC">
        <w:rPr>
          <w:rFonts w:ascii="Arial Narrow" w:hAnsi="Arial Narrow"/>
          <w:sz w:val="22"/>
          <w:szCs w:val="22"/>
        </w:rPr>
        <w:t>The min</w:t>
      </w:r>
      <w:r w:rsidR="00311980">
        <w:rPr>
          <w:rFonts w:ascii="Arial Narrow" w:hAnsi="Arial Narrow"/>
          <w:sz w:val="22"/>
          <w:szCs w:val="22"/>
        </w:rPr>
        <w:t xml:space="preserve">imum requirements for ALL </w:t>
      </w:r>
      <w:proofErr w:type="gramStart"/>
      <w:r w:rsidR="00311980">
        <w:rPr>
          <w:rFonts w:ascii="Arial Narrow" w:hAnsi="Arial Narrow"/>
          <w:sz w:val="22"/>
          <w:szCs w:val="22"/>
        </w:rPr>
        <w:t>GRANTS  shall</w:t>
      </w:r>
      <w:proofErr w:type="gramEnd"/>
      <w:r w:rsidR="00311980">
        <w:rPr>
          <w:rFonts w:ascii="Arial Narrow" w:hAnsi="Arial Narrow"/>
          <w:sz w:val="22"/>
          <w:szCs w:val="22"/>
        </w:rPr>
        <w:t xml:space="preserve"> be</w:t>
      </w:r>
      <w:r w:rsidR="00FE16DC">
        <w:rPr>
          <w:rFonts w:ascii="Arial Narrow" w:hAnsi="Arial Narrow"/>
          <w:sz w:val="22"/>
          <w:szCs w:val="22"/>
        </w:rPr>
        <w:t xml:space="preserve">: </w:t>
      </w: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242A1654" w14:textId="77777777" w:rsidR="00FD0FD9" w:rsidRDefault="00FD0FD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1).  </w:t>
      </w:r>
      <w:r w:rsidR="00FE16DC">
        <w:rPr>
          <w:rFonts w:ascii="Arial Narrow" w:hAnsi="Arial Narrow"/>
          <w:sz w:val="22"/>
          <w:szCs w:val="22"/>
        </w:rPr>
        <w:t xml:space="preserve">Club must be in good standing </w:t>
      </w:r>
    </w:p>
    <w:p w14:paraId="4917E2E9" w14:textId="6115FB71" w:rsidR="006E3D0E" w:rsidRDefault="00FD0FD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2).  </w:t>
      </w:r>
      <w:r w:rsidR="00FE16DC">
        <w:rPr>
          <w:rFonts w:ascii="Arial Narrow" w:hAnsi="Arial Narrow"/>
          <w:sz w:val="22"/>
          <w:szCs w:val="22"/>
        </w:rPr>
        <w:t xml:space="preserve">Club must </w:t>
      </w:r>
      <w:r>
        <w:rPr>
          <w:rFonts w:ascii="Arial Narrow" w:hAnsi="Arial Narrow"/>
          <w:sz w:val="22"/>
          <w:szCs w:val="22"/>
        </w:rPr>
        <w:t>be represented at</w:t>
      </w:r>
      <w:r w:rsidR="00FE16DC">
        <w:rPr>
          <w:rFonts w:ascii="Arial Narrow" w:hAnsi="Arial Narrow"/>
          <w:sz w:val="22"/>
          <w:szCs w:val="22"/>
        </w:rPr>
        <w:t xml:space="preserve"> both HOD meetings </w:t>
      </w:r>
    </w:p>
    <w:p w14:paraId="615384EB" w14:textId="73FD03ED" w:rsidR="00C31FCD" w:rsidRPr="007753A7" w:rsidRDefault="00FD0FD9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3).  The club must have the</w:t>
      </w:r>
      <w:r w:rsidR="00311980">
        <w:rPr>
          <w:rFonts w:ascii="Arial Narrow" w:hAnsi="Arial Narrow"/>
          <w:sz w:val="22"/>
          <w:szCs w:val="22"/>
        </w:rPr>
        <w:t xml:space="preserve"> required number of officia</w:t>
      </w:r>
      <w:r>
        <w:rPr>
          <w:rFonts w:ascii="Arial Narrow" w:hAnsi="Arial Narrow"/>
          <w:sz w:val="22"/>
          <w:szCs w:val="22"/>
        </w:rPr>
        <w:t>ls working 10 sessions per year based on the club size.</w:t>
      </w:r>
    </w:p>
    <w:sectPr w:rsidR="00C31FCD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8FAF7" w14:textId="77777777" w:rsidR="00695294" w:rsidRDefault="00695294">
      <w:r>
        <w:separator/>
      </w:r>
    </w:p>
  </w:endnote>
  <w:endnote w:type="continuationSeparator" w:id="0">
    <w:p w14:paraId="73FABBC4" w14:textId="77777777" w:rsidR="00695294" w:rsidRDefault="0069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BF8E8" w14:textId="77777777" w:rsidR="00695294" w:rsidRDefault="00695294">
      <w:r>
        <w:separator/>
      </w:r>
    </w:p>
  </w:footnote>
  <w:footnote w:type="continuationSeparator" w:id="0">
    <w:p w14:paraId="18F15AF1" w14:textId="77777777" w:rsidR="00695294" w:rsidRDefault="00695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6FF2"/>
    <w:rsid w:val="000C2A15"/>
    <w:rsid w:val="000C7963"/>
    <w:rsid w:val="000D44D1"/>
    <w:rsid w:val="000D73B0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A382E"/>
    <w:rsid w:val="009A5921"/>
    <w:rsid w:val="009C1510"/>
    <w:rsid w:val="009C78A9"/>
    <w:rsid w:val="009D3509"/>
    <w:rsid w:val="009D76B8"/>
    <w:rsid w:val="009E2C90"/>
    <w:rsid w:val="009F58BA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D3A6F"/>
    <w:rsid w:val="00AD5B81"/>
    <w:rsid w:val="00AE2D07"/>
    <w:rsid w:val="00AF3D41"/>
    <w:rsid w:val="00B0268E"/>
    <w:rsid w:val="00B04E9C"/>
    <w:rsid w:val="00B2657F"/>
    <w:rsid w:val="00B27E28"/>
    <w:rsid w:val="00B57B01"/>
    <w:rsid w:val="00B71F82"/>
    <w:rsid w:val="00B90D6F"/>
    <w:rsid w:val="00B92A23"/>
    <w:rsid w:val="00BA1C96"/>
    <w:rsid w:val="00BB2F60"/>
    <w:rsid w:val="00BC091E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2720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2</cp:revision>
  <cp:lastPrinted>2016-04-28T23:41:00Z</cp:lastPrinted>
  <dcterms:created xsi:type="dcterms:W3CDTF">2016-04-29T17:47:00Z</dcterms:created>
  <dcterms:modified xsi:type="dcterms:W3CDTF">2016-04-29T17:47:00Z</dcterms:modified>
</cp:coreProperties>
</file>